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78" w:rsidRDefault="00ED2641">
      <w:pPr>
        <w:pStyle w:val="10"/>
        <w:keepNext/>
        <w:keepLines/>
      </w:pPr>
      <w:bookmarkStart w:id="0" w:name="bookmark0"/>
      <w:r>
        <w:t>Рудченко Григорий Иванович</w:t>
      </w:r>
      <w:bookmarkEnd w:id="0"/>
    </w:p>
    <w:p w:rsidR="00215978" w:rsidRDefault="00ED2641">
      <w:pPr>
        <w:pStyle w:val="11"/>
      </w:pPr>
      <w:bookmarkStart w:id="1" w:name="_GoBack"/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1261110</wp:posOffset>
            </wp:positionH>
            <wp:positionV relativeFrom="paragraph">
              <wp:posOffset>12700</wp:posOffset>
            </wp:positionV>
            <wp:extent cx="2328545" cy="28282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328545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b/>
          <w:bCs/>
        </w:rPr>
        <w:t xml:space="preserve">Доцент кафедры, кандидат технических наук </w:t>
      </w:r>
    </w:p>
    <w:p w:rsidR="00215978" w:rsidRDefault="00ED2641">
      <w:pPr>
        <w:pStyle w:val="11"/>
      </w:pPr>
      <w:r>
        <w:t>Дата рождения: 05 июля 1974г.</w:t>
      </w:r>
    </w:p>
    <w:p w:rsidR="00215978" w:rsidRDefault="00ED2641">
      <w:pPr>
        <w:pStyle w:val="11"/>
        <w:tabs>
          <w:tab w:val="left" w:pos="2150"/>
          <w:tab w:val="left" w:pos="3691"/>
        </w:tabs>
      </w:pPr>
      <w:r>
        <w:t>Образование:</w:t>
      </w:r>
      <w:r>
        <w:tab/>
        <w:t>высшее,</w:t>
      </w:r>
      <w:r w:rsidR="00394D12">
        <w:t xml:space="preserve"> </w:t>
      </w:r>
      <w:r>
        <w:t>Российский</w:t>
      </w:r>
    </w:p>
    <w:p w:rsidR="00215978" w:rsidRDefault="00ED2641">
      <w:pPr>
        <w:pStyle w:val="11"/>
      </w:pPr>
      <w:r>
        <w:t>государственных открытый технический университет путей сообщения (Специальность: «Вагоны». Квалификация: «Инженер путей сообщения»), 2008 г.</w:t>
      </w:r>
    </w:p>
    <w:p w:rsidR="00215978" w:rsidRDefault="00ED2641">
      <w:pPr>
        <w:pStyle w:val="11"/>
      </w:pPr>
      <w:r>
        <w:t>Аспирантура Волгоградского государственного архитектурно-строительного университета.</w:t>
      </w:r>
    </w:p>
    <w:p w:rsidR="00215978" w:rsidRDefault="00ED2641">
      <w:pPr>
        <w:pStyle w:val="11"/>
      </w:pPr>
      <w:r>
        <w:t>Защита кандидатской диссертации: 2013 г.</w:t>
      </w:r>
    </w:p>
    <w:p w:rsidR="00215978" w:rsidRDefault="00ED2641">
      <w:pPr>
        <w:pStyle w:val="11"/>
        <w:spacing w:after="240"/>
      </w:pPr>
      <w:r>
        <w:t>Присуждение ученой степени кандидата технических наук: 2013 г. («Пожарная и промышленная безопасность (строительство)».</w:t>
      </w:r>
    </w:p>
    <w:p w:rsidR="00215978" w:rsidRDefault="00ED2641">
      <w:pPr>
        <w:pStyle w:val="11"/>
        <w:jc w:val="both"/>
      </w:pPr>
      <w:r>
        <w:rPr>
          <w:b/>
          <w:bCs/>
        </w:rPr>
        <w:t>Награды, почетные звания: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7"/>
        </w:tabs>
        <w:jc w:val="both"/>
      </w:pPr>
      <w:r>
        <w:t>Медали МЧС России: «За отличие в ликвидации последствий чрезвычайной ситуации», «За отвагу на пожаре», «За безупречную службу».</w:t>
      </w:r>
    </w:p>
    <w:p w:rsidR="00215978" w:rsidRDefault="00ED2641">
      <w:pPr>
        <w:pStyle w:val="11"/>
        <w:jc w:val="both"/>
      </w:pPr>
      <w:r>
        <w:rPr>
          <w:b/>
          <w:bCs/>
        </w:rPr>
        <w:t>Стаж преподавательской работы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12 лет.</w:t>
      </w:r>
    </w:p>
    <w:p w:rsidR="00215978" w:rsidRDefault="00ED2641">
      <w:pPr>
        <w:pStyle w:val="11"/>
        <w:jc w:val="both"/>
      </w:pPr>
      <w:r>
        <w:rPr>
          <w:b/>
          <w:bCs/>
        </w:rPr>
        <w:t>Читаемые дисциплины: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Мониторинг и прогнозирование ЧС;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Мониторинг безопасности;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Анализ рисков ЧС;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Моделирование и прогнозирование ЧС;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Информационные технологии в сфере безопасности;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Теория случайных процессов при прогнозировании возникновения чрезвычайных ситуаций (последствий катастроф);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У правление рисками, системный анализ и моделирование;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Моделирование природных и техногенных процессов;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Экспертиза безопасности;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262"/>
        </w:tabs>
        <w:jc w:val="both"/>
      </w:pPr>
      <w:r>
        <w:t>Расчет пожарных рисков.</w:t>
      </w:r>
    </w:p>
    <w:p w:rsidR="00215978" w:rsidRDefault="00ED2641">
      <w:pPr>
        <w:pStyle w:val="11"/>
        <w:jc w:val="both"/>
      </w:pPr>
      <w:r>
        <w:rPr>
          <w:b/>
          <w:bCs/>
        </w:rPr>
        <w:t>Контактная информация</w:t>
      </w:r>
    </w:p>
    <w:p w:rsidR="00215978" w:rsidRDefault="00ED2641">
      <w:pPr>
        <w:pStyle w:val="11"/>
        <w:jc w:val="both"/>
      </w:pPr>
      <w:r>
        <w:t>Комната: В-710</w:t>
      </w:r>
    </w:p>
    <w:p w:rsidR="00215978" w:rsidRDefault="00ED2641">
      <w:pPr>
        <w:pStyle w:val="11"/>
        <w:jc w:val="both"/>
      </w:pPr>
      <w:r>
        <w:rPr>
          <w:b/>
          <w:bCs/>
        </w:rPr>
        <w:t>Научные направления:</w:t>
      </w:r>
    </w:p>
    <w:p w:rsidR="00215978" w:rsidRDefault="00ED2641">
      <w:pPr>
        <w:pStyle w:val="11"/>
        <w:numPr>
          <w:ilvl w:val="0"/>
          <w:numId w:val="1"/>
        </w:numPr>
        <w:tabs>
          <w:tab w:val="left" w:pos="320"/>
        </w:tabs>
        <w:jc w:val="both"/>
      </w:pPr>
      <w:r>
        <w:t>Исследование параметров процесса эвакуации детей, совершенствование способов и методов их эвакуации из зданий и сооружений различного назначения.</w:t>
      </w:r>
    </w:p>
    <w:p w:rsidR="00215978" w:rsidRDefault="00ED2641">
      <w:pPr>
        <w:pStyle w:val="11"/>
        <w:jc w:val="both"/>
      </w:pPr>
      <w:r>
        <w:rPr>
          <w:b/>
          <w:bCs/>
        </w:rPr>
        <w:t>Публикации:</w:t>
      </w:r>
    </w:p>
    <w:p w:rsidR="00215978" w:rsidRDefault="00ED2641">
      <w:pPr>
        <w:pStyle w:val="11"/>
        <w:jc w:val="both"/>
      </w:pPr>
      <w:r>
        <w:t>Наиболее важные по представленным направлениям: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Рудченко Г.И. Нормативно-правовое регулирование размещение и функционирования детских игровых зон в торгово-развлекательных комплексах // Технологии техносферной безопасности. - 2019. - №2. С.41-46.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spacing w:after="140"/>
        <w:jc w:val="both"/>
      </w:pPr>
      <w:r>
        <w:t>Рудченко Г.И. Методы и результаты исследований детских игровых комнат в торгово-развлекательных комплексах // Проблемы охраны производственной и окружающей среды: сб. материалов и научн. Тр. Инженеров-экологов. Волгогр. гос. техн.ун-т.-Волгоград,2018.- Вып.9.- С. 87-90.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 xml:space="preserve">Рудченко Г.И. Д.В. Текушин. А.Г. Никитин. О методах и результатах </w:t>
      </w:r>
      <w:r>
        <w:lastRenderedPageBreak/>
        <w:t>экспериментов, проведенных в детских игровых комнатах торгово-развлекательных комплексов. // Современная наука и инновации.-2017.-№3,- С.278-284.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РудченкоГ.И. А.Г. Никитин. Детские игровые в торгово-развлекательных комплексах-зоны без опасности? // Системы безопасности - 2016: материалы 25 международной научно-технической конференции 24 нояб. 2016, Москва.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Текушин Д.В. ,Рудченко Г.И. К вопросу об эвакуации детей из детских игровых комнат торгово-развлекательных комплексов // Современная наука и инновации: научный журнал. Ставрополь-Пятигорск 2016. Выпуск 1 (13). С. 126-130.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Текушин Д.В. ,Рудченко Г.И. К вопросу об эвакуации детей из детских игровых комнат торгово-развлекательных комплексов // Современная наука и инновации: научный журнал. Ставрополь-Пятигорск 2016. Выпуск 1 (13). С. 126-130.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Азаров В. Н., Рудченко Г. И., Кузнецова Н. С. Анализ сценариев возможного развития пожаров в зданиях детских дошкольных образовательных учреждений, построенных по типовым проектам // Интернет-вестн. ВолгГАСУ Сер.: Стр-во и архитектура, 2011. Вып. 3(17).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Азаров В. Н., Рудченко Г. И., Кузнецова Н. С. О расчёте времени эвакуации людей при обеспечении пожарной безопасности зданий дошкольных образовательных учреждений // Вестн. ВолгГАСУ. Сер.: Стр-во и архитектура. 2011. Вып. 23 (42). С. 116</w:t>
      </w:r>
      <w:r>
        <w:softHyphen/>
        <w:t>122.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Рудченко Г. И. Анализ нормативных документов, регламентирующих обеспечение пожарной безопасности при проектировании и строительстве детских образовательных учреждений // Проблемы охраны производственной и окружающей среды : сб. материалов и науч. тр. инженеров-экологов. Волгоград : Изд-во ВолгГАСУ, 2011. Вып. 3. С. 57-60.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Рудченко Г. И., Азаров В. Н., Кузнецова Н. С. О методах оценки пожарных рисков // Современные проблемы и пути их решения в науке, транспорте, производстве и образовании, 2011: сб. науч. тр. матерериалов междунар. науч.-практич. конф. Одесса : Черноморье, 2011. Вып. 4, т. 7. С. 70-73.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Рудченко Г. И. О методе проведения эксперимента по определению некоторых параметров процесса эвакуации детей в дошкольных образовательных учреждениях // Проблемы охраны производственной и окружающей среды : сб. материалов и науч. тр. инженеров-экологов. Волгоград : Изд-во ВолгГАСУ, 2012. Вып. 4. С. 59-66.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Рудченко Г. И., Азаров В. Н., Кузнецова Н. С. О технических решениях для обеспечения пожарной безопасности в дошкольных образовательных учреждениях // Современные проблемы и пути их решения в науке, транспорте, производстве и образовании, 2011 : сб. науч. тр. материалов. междунар. науч.-практич. конф. Одесса : Черноморье, 2011. Вып. 4, т. 7. С. 74-77.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Рудченко Г. И. Время эвакуации как один из факторов, влияющих на оценку пожарного риска в дошкольных образовательных учреждениях // Проблемы охраны производственной и окружающей среды : сб. материалов и науч. тр. инженеров-экологов. Волгоград : Изд-во ВолгГАСУ, 2012. Вып. 4. С. 14-15.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jc w:val="both"/>
      </w:pPr>
      <w:r>
        <w:t>Рудченко Г. И. О современном состоянии пожарной безопасности в дошкольных образовательных учреждениях // Проблемы охраны производственной и окружающей среды : сб. материалов и науч. тр. инженеров-экологов. Волгоград : Изд-во ВолгГАСУ, 2012. Вып. 4. С. 3-6.</w:t>
      </w:r>
    </w:p>
    <w:p w:rsidR="00215978" w:rsidRDefault="00ED2641">
      <w:pPr>
        <w:pStyle w:val="11"/>
        <w:numPr>
          <w:ilvl w:val="0"/>
          <w:numId w:val="2"/>
        </w:numPr>
        <w:tabs>
          <w:tab w:val="left" w:pos="624"/>
        </w:tabs>
        <w:spacing w:after="240"/>
        <w:jc w:val="both"/>
      </w:pPr>
      <w:r>
        <w:t>Рудченко Г. И. О современных строительных решениях при возведении дошкольных образовательных учреждений // Проблемы охраны производственной и окружающей среды : сб. материалов и науч. тр. инженеров-экологов. Волгоград : Изд-во ВолгГАСУ, 2012. Вып. 4. С. 6-14.</w:t>
      </w:r>
    </w:p>
    <w:p w:rsidR="00215978" w:rsidRDefault="00ED2641">
      <w:pPr>
        <w:pStyle w:val="11"/>
        <w:jc w:val="both"/>
      </w:pPr>
      <w:r>
        <w:rPr>
          <w:b/>
          <w:bCs/>
        </w:rPr>
        <w:t>Изобретения:</w:t>
      </w:r>
    </w:p>
    <w:p w:rsidR="00215978" w:rsidRDefault="00ED2641">
      <w:pPr>
        <w:pStyle w:val="11"/>
      </w:pPr>
      <w:r>
        <w:t>Общее количество изобретений — 1 Пат. 109413 Рос. Федерация, МПК А62В 1/00 Спасательное надувное устройство.</w:t>
      </w:r>
    </w:p>
    <w:sectPr w:rsidR="00215978">
      <w:pgSz w:w="11900" w:h="16840"/>
      <w:pgMar w:top="1095" w:right="928" w:bottom="981" w:left="1775" w:header="667" w:footer="5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0E" w:rsidRDefault="00ED2641">
      <w:r>
        <w:separator/>
      </w:r>
    </w:p>
  </w:endnote>
  <w:endnote w:type="continuationSeparator" w:id="0">
    <w:p w:rsidR="00231B0E" w:rsidRDefault="00ED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978" w:rsidRDefault="00215978"/>
  </w:footnote>
  <w:footnote w:type="continuationSeparator" w:id="0">
    <w:p w:rsidR="00215978" w:rsidRDefault="002159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53BA4"/>
    <w:multiLevelType w:val="multilevel"/>
    <w:tmpl w:val="5F246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F51627"/>
    <w:multiLevelType w:val="multilevel"/>
    <w:tmpl w:val="18CA5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78"/>
    <w:rsid w:val="00215978"/>
    <w:rsid w:val="00231B0E"/>
    <w:rsid w:val="00394D12"/>
    <w:rsid w:val="00E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17D57-DB33-4341-9122-E4C407F5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60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ПБиЗЧС</cp:lastModifiedBy>
  <cp:revision>2</cp:revision>
  <dcterms:created xsi:type="dcterms:W3CDTF">2025-10-06T07:34:00Z</dcterms:created>
  <dcterms:modified xsi:type="dcterms:W3CDTF">2025-10-06T07:34:00Z</dcterms:modified>
</cp:coreProperties>
</file>